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38" w:rsidRPr="00145838" w:rsidRDefault="00145838" w:rsidP="00470E56">
      <w:pPr>
        <w:jc w:val="both"/>
        <w:rPr>
          <w:b/>
        </w:rPr>
      </w:pPr>
      <w:r w:rsidRPr="00145838">
        <w:rPr>
          <w:b/>
          <w:bCs/>
        </w:rPr>
        <w:t>ÖHUD 601</w:t>
      </w:r>
      <w:r w:rsidRPr="00145838">
        <w:rPr>
          <w:b/>
        </w:rPr>
        <w:t xml:space="preserve"> ANONİM ORTAKLIĞIN HAKLI SEBEPLE FESHİ</w:t>
      </w:r>
    </w:p>
    <w:p w:rsidR="00145838" w:rsidRPr="00A22E3A" w:rsidRDefault="00145838" w:rsidP="00470E56">
      <w:pPr>
        <w:jc w:val="both"/>
      </w:pPr>
      <w:r w:rsidRPr="00A22E3A">
        <w:t xml:space="preserve">Bu ders kapsamında haklı sebep kavramı, anonim ortaklıkta haklı sebeple fesih hakkının sınırları ve bu hakkın kimlere tanındığı, 6762 sayılı Kanun döneminde bu kurumun mevcudiyetine ilişkin tartışmalar ve uygulama, haklı sebeple fesih davasının anlam, amaç ve hukuki mahiyeti, karşılaştırmalı hukukta anonim ortaklığın haklı sebeple feshi, haklı sebeple fesih davasının usul hukukuna ilişkin özellikleri ve haklı sebeple fesih davasında mahkemenin alabileceği kararlar Yargıtay kararları ve uygulama ışığında detaylandırılacaktır. </w:t>
      </w:r>
    </w:p>
    <w:p w:rsidR="00145838" w:rsidRPr="00145838" w:rsidRDefault="00145838" w:rsidP="00470E56">
      <w:pPr>
        <w:jc w:val="both"/>
        <w:rPr>
          <w:b/>
          <w:bCs/>
        </w:rPr>
      </w:pPr>
      <w:bookmarkStart w:id="0" w:name="_GoBack"/>
      <w:bookmarkEnd w:id="0"/>
    </w:p>
    <w:p w:rsidR="00145838" w:rsidRPr="00145838" w:rsidRDefault="00145838" w:rsidP="00470E56">
      <w:pPr>
        <w:jc w:val="both"/>
        <w:rPr>
          <w:b/>
        </w:rPr>
      </w:pPr>
      <w:r w:rsidRPr="00145838">
        <w:rPr>
          <w:b/>
          <w:bCs/>
        </w:rPr>
        <w:t>ÖHUD 602 SENDIKAL GÜVENCELER</w:t>
      </w:r>
    </w:p>
    <w:p w:rsidR="00145838" w:rsidRPr="00A22E3A" w:rsidRDefault="00145838" w:rsidP="00470E56">
      <w:pPr>
        <w:jc w:val="both"/>
        <w:rPr>
          <w:iCs/>
        </w:rPr>
      </w:pPr>
      <w:r w:rsidRPr="00A22E3A">
        <w:rPr>
          <w:iCs/>
        </w:rPr>
        <w:t>6356 Sayılı Sendikalar ve Toplu İş Sözleşmesi Kanunu sisteminde güncellenen ve yeniden düzenlenen sendikal güvenceler bu ders kapsamında incelenecektir. Profesyonel ve amatör sendika yöneticiliği güvencesi, sendika işyeri temsilcisi güvencesi ve yakın bir zamanda Anayasa Mahkemesi tarafından iş güvencesi sistemine yapılan atfın iptal edilmesiyle kapsamı genişleyen üyelik güvencesi konularıyla sendikal özgürlük kavramı uluslararası düzenlemeler ışığında tartışılacaktır.</w:t>
      </w:r>
    </w:p>
    <w:p w:rsidR="00145838" w:rsidRPr="00145838" w:rsidRDefault="00145838" w:rsidP="00470E56">
      <w:pPr>
        <w:jc w:val="both"/>
        <w:rPr>
          <w:b/>
        </w:rPr>
      </w:pPr>
    </w:p>
    <w:p w:rsidR="00145838" w:rsidRPr="00145838" w:rsidRDefault="00145838" w:rsidP="00470E56">
      <w:pPr>
        <w:jc w:val="both"/>
        <w:rPr>
          <w:b/>
        </w:rPr>
      </w:pPr>
      <w:r w:rsidRPr="00145838">
        <w:rPr>
          <w:b/>
          <w:bCs/>
        </w:rPr>
        <w:t xml:space="preserve">ÖHUD 603 </w:t>
      </w:r>
      <w:r w:rsidRPr="00145838">
        <w:rPr>
          <w:b/>
        </w:rPr>
        <w:t xml:space="preserve">ÖZEL HUKUK İHLALLERİNDE AYM’NE BİREYSEL BAŞVURU HAKKI </w:t>
      </w:r>
    </w:p>
    <w:p w:rsidR="00145838" w:rsidRPr="00A22E3A" w:rsidRDefault="00145838" w:rsidP="00470E56">
      <w:pPr>
        <w:jc w:val="both"/>
      </w:pPr>
      <w:r w:rsidRPr="00A22E3A">
        <w:t xml:space="preserve">Anayasa Hukuku, kamu hukuku anabilim dalı içerisinde yer almasına rağmen Anayasa yargısı, özellikle de anayasal şikayet ya da bilinen adıyla bireysel başvuru niteliği itibarıyla hukukun bütün dallarını ilgilendirmektedir. Anayasa’nın 148/3 maddesi hükmü gereğince </w:t>
      </w:r>
      <w:r w:rsidRPr="00A22E3A">
        <w:rPr>
          <w:i/>
        </w:rPr>
        <w:t>“Herkes, Anayasada güvence altına alınmış temel hak ve özgürlüklerinden, Avrupa İnsan Hakları Sözleşmesi kapsamındaki herhangi birinin kamu gücü tarafından, ihlal edildiği iddiasıyla Anayasa Mahkemesine başvurabilir...”</w:t>
      </w:r>
      <w:r w:rsidRPr="00A22E3A">
        <w:t xml:space="preserve"> Bu açıdan adil yargılanma hakkı bağlamında Anayasa’da yer alan güvenceler, mülkiyet hakkı, özel hayatın korunması ve tazminat hukukuna ilişkin ihlal iddialarında olduğu gibi bireysel başvuru konularının önemli bir kısmının  özel hukukun konusunu oluşturduğu açıktır. </w:t>
      </w:r>
      <w:r w:rsidRPr="00A22E3A">
        <w:rPr>
          <w:bCs/>
        </w:rPr>
        <w:t>Diğer taraftan, 6216 sayılı Anayasa Mahkemesinin Kuruluşu ve Yargılama Usulleri Hakkında Kanun’un 46 maddesi hükmünde ö</w:t>
      </w:r>
      <w:r w:rsidRPr="00A22E3A">
        <w:t>zel hukuk tüzel kişilerinin sadece tüzel kişiliğe ait haklarının ihlal edildiği gerekçesiyle bireysel başvuruda bulunabileceği belirtilmektedir. Dersimizde, Anayasa’da özel hukuka ilişkin bireysel başvuru konusu olabilecek haklar, bireysel başvuruya ilişkin koşullar, Anayasa  Mahkemesi ve Avrupa İnsan Hakları Mahkemesi kararlarıyla birlikte ele alınıp incelenecektir.</w:t>
      </w:r>
    </w:p>
    <w:p w:rsidR="00145838" w:rsidRPr="00145838" w:rsidRDefault="00145838" w:rsidP="00470E56">
      <w:pPr>
        <w:jc w:val="both"/>
        <w:rPr>
          <w:b/>
        </w:rPr>
      </w:pPr>
    </w:p>
    <w:p w:rsidR="00145838" w:rsidRPr="00145838" w:rsidRDefault="00145838" w:rsidP="00470E56">
      <w:pPr>
        <w:jc w:val="both"/>
        <w:rPr>
          <w:b/>
        </w:rPr>
      </w:pPr>
      <w:r w:rsidRPr="00145838">
        <w:rPr>
          <w:b/>
          <w:bCs/>
        </w:rPr>
        <w:t xml:space="preserve">ÖHUD 604 </w:t>
      </w:r>
      <w:r w:rsidRPr="00145838">
        <w:rPr>
          <w:b/>
        </w:rPr>
        <w:t>SORUMLULUK HUKUKU</w:t>
      </w:r>
    </w:p>
    <w:p w:rsidR="00145838" w:rsidRPr="00A22E3A" w:rsidRDefault="00145838" w:rsidP="00470E56">
      <w:pPr>
        <w:jc w:val="both"/>
      </w:pPr>
      <w:r w:rsidRPr="00A22E3A">
        <w:t>Bu dersin kapsamında, özel hukuk sorumluluğu çerçevesinde sözleşmeden doğan sorumluluk, haksız fiilden doğan sorumluluk, koşulları, sorumluluk ortaya çıktığında tazmin edilecek değerler; kusursuz sorumluluk örnekleri yargı kararları eşliğinde incelenecektir. Temel sorumluluk hukuku konularının tamamlanmasını takiben, özellikli alanlardaki (sağlık hukuku, arsa payı karşılığı inşaat sözleşmeleri gibi atipik sözleşmelerde) sorumluluk konuları üzerinde durulacaktır.</w:t>
      </w:r>
    </w:p>
    <w:p w:rsidR="00145838" w:rsidRPr="00145838" w:rsidRDefault="00145838" w:rsidP="00470E56">
      <w:pPr>
        <w:jc w:val="both"/>
        <w:rPr>
          <w:b/>
        </w:rPr>
      </w:pPr>
    </w:p>
    <w:p w:rsidR="00145838" w:rsidRPr="00145838" w:rsidRDefault="00145838" w:rsidP="00470E56">
      <w:pPr>
        <w:jc w:val="both"/>
        <w:rPr>
          <w:b/>
        </w:rPr>
      </w:pPr>
      <w:r w:rsidRPr="00145838">
        <w:rPr>
          <w:b/>
          <w:bCs/>
        </w:rPr>
        <w:t xml:space="preserve">ÖHUD 605 </w:t>
      </w:r>
      <w:r w:rsidRPr="00145838">
        <w:rPr>
          <w:b/>
        </w:rPr>
        <w:t>ENERJİ HUKUKU</w:t>
      </w:r>
    </w:p>
    <w:p w:rsidR="00145838" w:rsidRPr="00A22E3A" w:rsidRDefault="00145838" w:rsidP="00470E56">
      <w:pPr>
        <w:jc w:val="both"/>
      </w:pPr>
      <w:r w:rsidRPr="00A22E3A">
        <w:t>Bu ders kapsamında, enerjinin tanımlanması, kaynaklarının tespiti ve Türk hukuk sistemindeki düzenlemeler. EPDK'nın oluşumu, piyasaya giriş koşulları, piyasa düzenlemeleri ve piyasa aktörlerinin sahip olması gerek şartların tespiti ile piyasada düzenlenen sözleşmelerin ayrıntılı olarak incelenecek;. Enerji hukukunun rekabet hukuku boyutunu irdelenerek,  ortaya çıkan uyuşmazlıkların çözüm yolları yargı kararlarıyla birlikte değerlendirilecektir.</w:t>
      </w:r>
    </w:p>
    <w:p w:rsidR="00145838" w:rsidRPr="00145838" w:rsidRDefault="00145838" w:rsidP="00470E56">
      <w:pPr>
        <w:jc w:val="both"/>
        <w:rPr>
          <w:b/>
        </w:rPr>
      </w:pPr>
    </w:p>
    <w:p w:rsidR="00145838" w:rsidRPr="00145838" w:rsidRDefault="00145838" w:rsidP="00470E56">
      <w:pPr>
        <w:jc w:val="both"/>
        <w:rPr>
          <w:b/>
        </w:rPr>
      </w:pPr>
      <w:r w:rsidRPr="00145838">
        <w:rPr>
          <w:b/>
          <w:bCs/>
        </w:rPr>
        <w:t xml:space="preserve">ÖHUD 606 </w:t>
      </w:r>
      <w:r w:rsidRPr="00145838">
        <w:rPr>
          <w:b/>
        </w:rPr>
        <w:t>REHNİN PARAYA ÇEVRİLMESİ YOLUYLA TAKİP</w:t>
      </w:r>
    </w:p>
    <w:p w:rsidR="00145838" w:rsidRPr="00A22E3A" w:rsidRDefault="00145838" w:rsidP="00470E56">
      <w:pPr>
        <w:jc w:val="both"/>
      </w:pPr>
      <w:r w:rsidRPr="00A22E3A">
        <w:t>Bu takip yoluna özgü alacaklı ve borçlunun hakları ve başvurulacak hukuki yollar incelenecektir. Bu kapsamda rehnin paraya çevrilmesi yolunun türleri, özellikleri, diğer takip yollarından ayrıldığı hususlar değerlendirelecektir. Ayrıca uygulamada bu takip yoluna özgü sorunlu hususlar ve çözüm önerileri tartışılacaktır. Karşılaştırmalı hukukta bu takip yoluna özgü gelişmeler irdelenecektir. </w:t>
      </w:r>
    </w:p>
    <w:p w:rsidR="00145838" w:rsidRPr="00145838" w:rsidRDefault="00145838" w:rsidP="00470E56">
      <w:pPr>
        <w:jc w:val="both"/>
        <w:rPr>
          <w:b/>
        </w:rPr>
      </w:pPr>
    </w:p>
    <w:p w:rsidR="00145838" w:rsidRPr="00145838" w:rsidRDefault="00145838" w:rsidP="00470E56">
      <w:pPr>
        <w:jc w:val="both"/>
        <w:rPr>
          <w:b/>
        </w:rPr>
      </w:pPr>
      <w:r w:rsidRPr="00145838">
        <w:rPr>
          <w:b/>
          <w:bCs/>
        </w:rPr>
        <w:t xml:space="preserve">ÖHUD 607 </w:t>
      </w:r>
      <w:r w:rsidRPr="00145838">
        <w:rPr>
          <w:b/>
        </w:rPr>
        <w:t xml:space="preserve">İNTERNET VE TELİF HAKLARI </w:t>
      </w:r>
    </w:p>
    <w:p w:rsidR="00145838" w:rsidRPr="00A22E3A" w:rsidRDefault="00145838" w:rsidP="00470E56">
      <w:pPr>
        <w:jc w:val="both"/>
      </w:pPr>
      <w:r w:rsidRPr="00A22E3A">
        <w:lastRenderedPageBreak/>
        <w:t>Bu ders kapsamında fikri mülkiyet hukukunun ve telif hakları korumasının temel özellikleri gösterilecek, eser sahibinin ve bağlantılı hak sahiplerinin eser üzerindeki hakları ayrıntılı olarak incelenecek, eserin hukuken korunabilmesi için yapılması gerekenler konusunda bilgi verilecek, dijitalleşen dünyada yeni bilişim teknolojileri ve medya araçları ile telif hakları arasında bağlantı kurulacak ve yeni internet iş modelleri telif hakları çerçevesinde değerlendirilecektir.</w:t>
      </w:r>
    </w:p>
    <w:p w:rsidR="00145838" w:rsidRDefault="00145838" w:rsidP="00470E56">
      <w:pPr>
        <w:jc w:val="both"/>
        <w:rPr>
          <w:b/>
          <w:bCs/>
        </w:rPr>
      </w:pPr>
    </w:p>
    <w:p w:rsidR="00145838" w:rsidRPr="00145838" w:rsidRDefault="00145838" w:rsidP="00470E56">
      <w:pPr>
        <w:jc w:val="both"/>
        <w:rPr>
          <w:b/>
        </w:rPr>
      </w:pPr>
      <w:r w:rsidRPr="00145838">
        <w:rPr>
          <w:b/>
          <w:bCs/>
        </w:rPr>
        <w:t xml:space="preserve">ÖHUD 608 </w:t>
      </w:r>
      <w:r w:rsidRPr="00145838">
        <w:rPr>
          <w:b/>
        </w:rPr>
        <w:t>MEDENİ HUKUKTA ADİL YARGILANMA HAKKI</w:t>
      </w:r>
    </w:p>
    <w:p w:rsidR="00145838" w:rsidRPr="00145838" w:rsidRDefault="00145838" w:rsidP="00470E56">
      <w:pPr>
        <w:jc w:val="both"/>
      </w:pPr>
      <w:r w:rsidRPr="00145838">
        <w:t xml:space="preserve">Avrupa İnsan hakları Mahkemesi önünde bugüne kadar ülkemiz hakkında verilen ihlal kararları sıralamasında ne yazık ki birinci sırada adil yargılanma hakkı gelmektedir. Bu hak, ceza yargısında olduğu kadar hukuk yargısı bakımından da uygulanması gereken temel haklardandır.  Nitekim AİHS’nin 6. maddesinde açıkça </w:t>
      </w:r>
      <w:r w:rsidRPr="00145838">
        <w:rPr>
          <w:i/>
        </w:rPr>
        <w:t>“medeni hak ve yükümlülüklerle ilgili uyuşmazlıklar”</w:t>
      </w:r>
      <w:r w:rsidRPr="00145838">
        <w:t xml:space="preserve"> ifadesi yer almaktadır. Diğer taraftan Anayasa’da adil yargılamaya ilişkin çeşitli hükümler yanında Anayasa’nın 36. maddesindeki  düzenlemenin de genel niteliği hükmün, medeni hukukta da uygulanabilirliğini sağlamaktadır. AİHS, AİHM içtihatlarıyla gelişmekte ve böylece yaşayan hukuk halini almaktadır. Medeni Hukukta adil yargılanmaya ilişkin olarak AİHM içtihadı, gerek Anayasa Mahkemesine ve AİHM’e yapılan bireysel başvurularda gerekse Anayasa’nın 90. Maddesinin son fıkrası hükmü gereğince doğrudan uygulanabilmesi yönüyle yargı kurumlarına yol göstermektedir.  AİHM’in bu hakkın koruma kapsamına ve özellikle de nelerin </w:t>
      </w:r>
      <w:r w:rsidRPr="00145838">
        <w:rPr>
          <w:i/>
        </w:rPr>
        <w:t>“medeni hak ve yükümlülük”</w:t>
      </w:r>
      <w:r w:rsidRPr="00145838">
        <w:t xml:space="preserve"> niteliğinde kabul edileceğine dair değerlendirmesi önem arz eder. Ayrıca  adil yargılanma hakkının ihlal edilmesi durumunda ihlal kararının nasıl yerine getirileceği de üzerinde durulması gereken bir konudur.  Dersimizde, hakkaniyete uygun, adil, tarafsız ve bağımsız bir mahkemede yargılanma gibi güvenceler içeren ve kuvvetler ayrılığı, hukuk devleti, demokratik toplum gibi pek çok evrensel ilkelerle irtibatlı olan bu hak medeni hukuk boyutuyla ele alınacaktır. </w:t>
      </w:r>
    </w:p>
    <w:p w:rsidR="00145838" w:rsidRPr="00145838" w:rsidRDefault="00145838" w:rsidP="00470E56">
      <w:pPr>
        <w:jc w:val="both"/>
        <w:rPr>
          <w:b/>
        </w:rPr>
      </w:pPr>
    </w:p>
    <w:p w:rsidR="00145838" w:rsidRPr="00145838" w:rsidRDefault="00145838" w:rsidP="00470E56">
      <w:pPr>
        <w:jc w:val="both"/>
        <w:rPr>
          <w:b/>
        </w:rPr>
      </w:pPr>
      <w:r w:rsidRPr="00145838">
        <w:rPr>
          <w:b/>
          <w:bCs/>
        </w:rPr>
        <w:t xml:space="preserve">ÖHUD 609 </w:t>
      </w:r>
      <w:r w:rsidRPr="00145838">
        <w:rPr>
          <w:b/>
        </w:rPr>
        <w:t>DONATANIN SORUMLULUĞU</w:t>
      </w:r>
    </w:p>
    <w:p w:rsidR="00145838" w:rsidRPr="00145838" w:rsidRDefault="00145838" w:rsidP="00470E56">
      <w:pPr>
        <w:jc w:val="both"/>
      </w:pPr>
      <w:r w:rsidRPr="00145838">
        <w:t>TTK’nın Deniz Ticareti Kitabında yer alan Donatanın Sorumluluğu konusunun işelneceği derte, donatan kavramı, sorumlulk koşulları, kusursuz sorumluluk örneği olarak taşıdığı özellikler, müşterek avarya konuları üzerinde durulacak ve yargı kararlarıyla birlikte değerlendirilecektir.</w:t>
      </w:r>
    </w:p>
    <w:p w:rsidR="00145838" w:rsidRPr="00145838" w:rsidRDefault="00145838" w:rsidP="00470E56">
      <w:pPr>
        <w:jc w:val="both"/>
        <w:rPr>
          <w:b/>
        </w:rPr>
      </w:pPr>
    </w:p>
    <w:p w:rsidR="00145838" w:rsidRPr="00145838" w:rsidRDefault="00145838" w:rsidP="00470E56">
      <w:pPr>
        <w:jc w:val="both"/>
        <w:rPr>
          <w:b/>
        </w:rPr>
      </w:pPr>
      <w:r w:rsidRPr="00145838">
        <w:rPr>
          <w:b/>
          <w:bCs/>
        </w:rPr>
        <w:t xml:space="preserve">ÖHUD 610 </w:t>
      </w:r>
      <w:r w:rsidRPr="00145838">
        <w:rPr>
          <w:b/>
        </w:rPr>
        <w:t>HEKİMİN VE ÖZEL HASTANELERİN HUKUKİ SORUMLULUĞU</w:t>
      </w:r>
    </w:p>
    <w:p w:rsidR="00145838" w:rsidRPr="00470E56" w:rsidRDefault="00145838" w:rsidP="00470E56">
      <w:pPr>
        <w:jc w:val="both"/>
      </w:pPr>
      <w:proofErr w:type="gramStart"/>
      <w:r w:rsidRPr="00145838">
        <w:t>Ulusal ve uluslararası mevzuatlar kapsamında sağlık hakkı, tıbbi uygulama hatası/koşulları, hukuki sorumluluk açısından hekimin haksız fiil ve sözleşmeden doğan sorumlulukları ele alınacak; özel hastaneler yönünden de hatalı tıbbi müdahale neticesinde zarar gören hastanın hastane aleyhine açtığı tazminat davasının koşulları, adam çalıştıranın sorumluluğu, yardımcı şahsın fiillerinden sorumluluk, tam hastaneye kabul sözleşmeleri, bölünmüş hastaneye kabul sözleşmeleri ve bu sözleşmelere göre hastanelerin sorumlulukları ve ilgili yargı kararları üzerinde durulacaktır.</w:t>
      </w:r>
      <w:proofErr w:type="gramEnd"/>
    </w:p>
    <w:sectPr w:rsidR="00145838" w:rsidRPr="00470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50262"/>
    <w:multiLevelType w:val="hybridMultilevel"/>
    <w:tmpl w:val="1ACED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F6"/>
    <w:rsid w:val="000003FC"/>
    <w:rsid w:val="00031471"/>
    <w:rsid w:val="000610F7"/>
    <w:rsid w:val="00145838"/>
    <w:rsid w:val="001901D9"/>
    <w:rsid w:val="001902CB"/>
    <w:rsid w:val="00190877"/>
    <w:rsid w:val="001B1050"/>
    <w:rsid w:val="001B2C99"/>
    <w:rsid w:val="001D61C4"/>
    <w:rsid w:val="002330E0"/>
    <w:rsid w:val="002E1312"/>
    <w:rsid w:val="002F6AA5"/>
    <w:rsid w:val="00350DCD"/>
    <w:rsid w:val="00376632"/>
    <w:rsid w:val="00470E56"/>
    <w:rsid w:val="00481CB1"/>
    <w:rsid w:val="005019D0"/>
    <w:rsid w:val="005350A3"/>
    <w:rsid w:val="005C29B8"/>
    <w:rsid w:val="005F6FD5"/>
    <w:rsid w:val="00646870"/>
    <w:rsid w:val="0067180E"/>
    <w:rsid w:val="006E2E46"/>
    <w:rsid w:val="006E6127"/>
    <w:rsid w:val="006F3809"/>
    <w:rsid w:val="00722BA0"/>
    <w:rsid w:val="007726EB"/>
    <w:rsid w:val="008147F6"/>
    <w:rsid w:val="0086072C"/>
    <w:rsid w:val="008614B9"/>
    <w:rsid w:val="00933296"/>
    <w:rsid w:val="0097082E"/>
    <w:rsid w:val="009A281F"/>
    <w:rsid w:val="009C595F"/>
    <w:rsid w:val="009E4605"/>
    <w:rsid w:val="00A22E3A"/>
    <w:rsid w:val="00B504A9"/>
    <w:rsid w:val="00BA52DE"/>
    <w:rsid w:val="00BD1820"/>
    <w:rsid w:val="00C4135A"/>
    <w:rsid w:val="00C6350A"/>
    <w:rsid w:val="00C642A4"/>
    <w:rsid w:val="00D5134B"/>
    <w:rsid w:val="00D70754"/>
    <w:rsid w:val="00D930BF"/>
    <w:rsid w:val="00DC4922"/>
    <w:rsid w:val="00DE0C35"/>
    <w:rsid w:val="00DE7685"/>
    <w:rsid w:val="00E20356"/>
    <w:rsid w:val="00F20704"/>
    <w:rsid w:val="00F74BC2"/>
    <w:rsid w:val="00F93799"/>
    <w:rsid w:val="00FD5A3A"/>
    <w:rsid w:val="00FF7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5924567335442139281m2876132702659000783msolistparagraph">
    <w:name w:val="m_-5924567335442139281m_2876132702659000783msolistparagraph"/>
    <w:basedOn w:val="Normal"/>
    <w:rsid w:val="000610F7"/>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C595F"/>
    <w:pPr>
      <w:ind w:left="720"/>
      <w:contextualSpacing/>
    </w:pPr>
  </w:style>
  <w:style w:type="character" w:styleId="Gl">
    <w:name w:val="Strong"/>
    <w:basedOn w:val="VarsaylanParagrafYazTipi"/>
    <w:uiPriority w:val="22"/>
    <w:qFormat/>
    <w:rsid w:val="009C5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5924567335442139281m2876132702659000783msolistparagraph">
    <w:name w:val="m_-5924567335442139281m_2876132702659000783msolistparagraph"/>
    <w:basedOn w:val="Normal"/>
    <w:rsid w:val="000610F7"/>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C595F"/>
    <w:pPr>
      <w:ind w:left="720"/>
      <w:contextualSpacing/>
    </w:pPr>
  </w:style>
  <w:style w:type="character" w:styleId="Gl">
    <w:name w:val="Strong"/>
    <w:basedOn w:val="VarsaylanParagrafYazTipi"/>
    <w:uiPriority w:val="22"/>
    <w:qFormat/>
    <w:rsid w:val="009C5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37160">
      <w:bodyDiv w:val="1"/>
      <w:marLeft w:val="0"/>
      <w:marRight w:val="0"/>
      <w:marTop w:val="0"/>
      <w:marBottom w:val="0"/>
      <w:divBdr>
        <w:top w:val="none" w:sz="0" w:space="0" w:color="auto"/>
        <w:left w:val="none" w:sz="0" w:space="0" w:color="auto"/>
        <w:bottom w:val="none" w:sz="0" w:space="0" w:color="auto"/>
        <w:right w:val="none" w:sz="0" w:space="0" w:color="auto"/>
      </w:divBdr>
    </w:div>
    <w:div w:id="20695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1013</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Murat Sevi</dc:creator>
  <cp:lastModifiedBy>Gamze Güçkıran</cp:lastModifiedBy>
  <cp:revision>6</cp:revision>
  <dcterms:created xsi:type="dcterms:W3CDTF">2017-08-09T06:53:00Z</dcterms:created>
  <dcterms:modified xsi:type="dcterms:W3CDTF">2017-08-10T07:53:00Z</dcterms:modified>
</cp:coreProperties>
</file>