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T.C. ISTANBUL OKAN UNIVERSITY</w:t>
      </w:r>
    </w:p>
    <w:p w:rsidR="00000000" w:rsidDel="00000000" w:rsidP="00000000" w:rsidRDefault="00000000" w:rsidRPr="00000000" w14:paraId="00000002">
      <w:pPr>
        <w:spacing w:line="276" w:lineRule="auto"/>
        <w:jc w:val="center"/>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VOCATIONAL SCHOOL</w:t>
      </w:r>
    </w:p>
    <w:p w:rsidR="00000000" w:rsidDel="00000000" w:rsidP="00000000" w:rsidRDefault="00000000" w:rsidRPr="00000000" w14:paraId="00000003">
      <w:pPr>
        <w:spacing w:line="276" w:lineRule="auto"/>
        <w:jc w:val="center"/>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DEPARTMENT OF ELECTRONIC AND AUTOMATION</w:t>
      </w:r>
    </w:p>
    <w:p w:rsidR="00000000" w:rsidDel="00000000" w:rsidP="00000000" w:rsidRDefault="00000000" w:rsidRPr="00000000" w14:paraId="00000004">
      <w:pPr>
        <w:spacing w:line="276" w:lineRule="auto"/>
        <w:jc w:val="center"/>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05">
      <w:pPr>
        <w:spacing w:line="276" w:lineRule="auto"/>
        <w:jc w:val="center"/>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ARTIFICIAL INTELLIGENCE OPERATOR PROGRAM</w:t>
      </w:r>
    </w:p>
    <w:p w:rsidR="00000000" w:rsidDel="00000000" w:rsidP="00000000" w:rsidRDefault="00000000" w:rsidRPr="00000000" w14:paraId="00000006">
      <w:pPr>
        <w:spacing w:line="276" w:lineRule="auto"/>
        <w:jc w:val="center"/>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COURSE CONTENTS</w:t>
      </w:r>
    </w:p>
    <w:p w:rsidR="00000000" w:rsidDel="00000000" w:rsidP="00000000" w:rsidRDefault="00000000" w:rsidRPr="00000000" w14:paraId="00000007">
      <w:pPr>
        <w:spacing w:line="276" w:lineRule="auto"/>
        <w:jc w:val="center"/>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
          <w:szCs w:val="23"/>
          <w:u w:val="none"/>
          <w:shd w:fill="auto" w:val="clear"/>
          <w:vertAlign w:val="baseline"/>
          <w:rtl w:val="0"/>
        </w:rPr>
        <w:t xml:space="preserve">Term</w:t>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1346"/>
        </w:tabs>
        <w:ind w:left="1080" w:firstLine="0"/>
        <w:rPr>
          <w:rFonts w:ascii="Arial" w:cs="Arial" w:eastAsia="Arial" w:hAnsi="Arial"/>
          <w:b w:val="1"/>
          <w:bCs w:val="1"/>
          <w:color w:val="000000"/>
          <w:sz w:val="23"/>
          <w:szCs w:val="23"/>
        </w:rPr>
      </w:pPr>
      <w:r w:rsidDel="00000000" w:rsidR="00000000" w:rsidRPr="00000000">
        <w:rPr>
          <w:rtl w:val="0"/>
        </w:rPr>
      </w:r>
    </w:p>
    <w:p w:rsidR="00000000" w:rsidDel="00000000" w:rsidP="00000000" w:rsidRDefault="00000000" w:rsidRPr="00000000" w14:paraId="0000000A">
      <w:pPr>
        <w:tabs>
          <w:tab w:val="left" w:leader="none" w:pos="1346"/>
        </w:tabs>
        <w:spacing w:line="276" w:lineRule="auto"/>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MBLP117 </w:t>
      </w:r>
      <w:r w:rsidDel="00000000" w:rsidR="00000000" w:rsidRPr="00000000">
        <w:rPr>
          <w:rFonts w:ascii="Google Sans" w:cs="Google Sans" w:eastAsia="Google Sans" w:hAnsi="Google Sans"/>
          <w:b w:val="1"/>
          <w:bCs w:val="1"/>
          <w:color w:val="000000"/>
          <w:sz w:val="22"/>
          <w:szCs w:val="22"/>
          <w:rtl w:val="0"/>
        </w:rPr>
        <w:t xml:space="preserve">Fundamentals of Algorithm and Programming</w:t>
      </w:r>
      <w:r w:rsidDel="00000000" w:rsidR="00000000" w:rsidRPr="00000000">
        <w:rPr>
          <w:rFonts w:ascii="Arial" w:cs="Arial" w:eastAsia="Arial" w:hAnsi="Arial"/>
          <w:b w:val="1"/>
          <w:bCs w:val="1"/>
          <w:sz w:val="23"/>
          <w:szCs w:val="23"/>
          <w:rtl w:val="0"/>
        </w:rPr>
        <w:t xml:space="preserve"> (3 0 3 ) (ECTS 5)      </w:t>
      </w:r>
    </w:p>
    <w:p w:rsidR="00000000" w:rsidDel="00000000" w:rsidP="00000000" w:rsidRDefault="00000000" w:rsidRPr="00000000" w14:paraId="0000000B">
      <w:pPr>
        <w:widowControl w:val="0"/>
        <w:spacing w:line="276" w:lineRule="auto"/>
        <w:jc w:val="both"/>
        <w:rPr>
          <w:rFonts w:ascii="Google Sans" w:cs="Google Sans" w:eastAsia="Google Sans" w:hAnsi="Google Sans"/>
          <w:sz w:val="22"/>
          <w:szCs w:val="22"/>
        </w:rPr>
      </w:pPr>
      <w:r w:rsidDel="00000000" w:rsidR="00000000" w:rsidRPr="00000000">
        <w:rPr>
          <w:rFonts w:ascii="Google Sans" w:cs="Google Sans" w:eastAsia="Google Sans" w:hAnsi="Google Sans"/>
          <w:sz w:val="22"/>
          <w:szCs w:val="22"/>
          <w:rtl w:val="0"/>
        </w:rPr>
        <w:t xml:space="preserve">This course is designed to provide students with algorithmic thinking skills and fundamental programming competencies. The curriculum begins with the analysis of problem-solving processes, the logic of algorithm development, and the visualization of this logic through flowcharts. Using the C# programming language and its development environment, core building blocks of programming—including variables, data types, basic operators, conditional statements, loops, functions (subprograms), and single/multi-dimensional arrays—are taught through hands-on applications. By the end of the course, students will have acquired the ability to analyze a specific problem, construct its algorithm, and implement that algorithm using C# code.</w:t>
      </w:r>
    </w:p>
    <w:p w:rsidR="00000000" w:rsidDel="00000000" w:rsidP="00000000" w:rsidRDefault="00000000" w:rsidRPr="00000000" w14:paraId="0000000C">
      <w:pPr>
        <w:widowControl w:val="0"/>
        <w:spacing w:line="276" w:lineRule="auto"/>
        <w:jc w:val="both"/>
        <w:rPr>
          <w:rFonts w:ascii="Google Sans" w:cs="Google Sans" w:eastAsia="Google Sans" w:hAnsi="Google Sans"/>
          <w:sz w:val="22"/>
          <w:szCs w:val="22"/>
        </w:rPr>
      </w:pPr>
      <w:r w:rsidDel="00000000" w:rsidR="00000000" w:rsidRPr="00000000">
        <w:rPr>
          <w:rtl w:val="0"/>
        </w:rPr>
      </w:r>
    </w:p>
    <w:p w:rsidR="00000000" w:rsidDel="00000000" w:rsidP="00000000" w:rsidRDefault="00000000" w:rsidRPr="00000000" w14:paraId="0000000D">
      <w:pPr>
        <w:tabs>
          <w:tab w:val="left" w:leader="none" w:pos="1346"/>
        </w:tabs>
        <w:spacing w:line="276" w:lineRule="auto"/>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MBLP119 </w:t>
      </w:r>
      <w:r w:rsidDel="00000000" w:rsidR="00000000" w:rsidRPr="00000000">
        <w:rPr>
          <w:rFonts w:ascii="Google Sans" w:cs="Google Sans" w:eastAsia="Google Sans" w:hAnsi="Google Sans"/>
          <w:b w:val="1"/>
          <w:bCs w:val="1"/>
          <w:color w:val="000000"/>
          <w:sz w:val="22"/>
          <w:szCs w:val="22"/>
          <w:rtl w:val="0"/>
        </w:rPr>
        <w:t xml:space="preserve">Computer Network Systems</w:t>
      </w:r>
      <w:r w:rsidDel="00000000" w:rsidR="00000000" w:rsidRPr="00000000">
        <w:rPr>
          <w:rFonts w:ascii="Arial" w:cs="Arial" w:eastAsia="Arial" w:hAnsi="Arial"/>
          <w:b w:val="1"/>
          <w:bCs w:val="1"/>
          <w:sz w:val="23"/>
          <w:szCs w:val="23"/>
          <w:rtl w:val="0"/>
        </w:rPr>
        <w:t xml:space="preserve"> (3 0 3 ) (ECTS 5)      </w:t>
      </w:r>
    </w:p>
    <w:p w:rsidR="00000000" w:rsidDel="00000000" w:rsidP="00000000" w:rsidRDefault="00000000" w:rsidRPr="00000000" w14:paraId="0000000E">
      <w:pPr>
        <w:widowControl w:val="0"/>
        <w:spacing w:line="276" w:lineRule="auto"/>
        <w:jc w:val="both"/>
        <w:rPr>
          <w:rFonts w:ascii="Google Sans" w:cs="Google Sans" w:eastAsia="Google Sans" w:hAnsi="Google Sans"/>
          <w:sz w:val="22"/>
          <w:szCs w:val="22"/>
        </w:rPr>
      </w:pPr>
      <w:r w:rsidDel="00000000" w:rsidR="00000000" w:rsidRPr="00000000">
        <w:rPr>
          <w:rFonts w:ascii="Google Sans" w:cs="Google Sans" w:eastAsia="Google Sans" w:hAnsi="Google Sans"/>
          <w:sz w:val="22"/>
          <w:szCs w:val="22"/>
          <w:rtl w:val="0"/>
        </w:rPr>
        <w:t xml:space="preserve">This course aims to introduce students to the fundamental principles, architectures, and protocols of computer networks in a comprehensive manner. Within the course content, the classification of networks (LAN, WAN, MAN), the layered structures and functions of the OSI and TCP/IP reference models will be examined in detail. Additionally, topics such as network hardware components (routers, switches), wired and wireless network technologies, IP addressing (IPv4, IPv6), routing protocols, and basic network security mechanisms will be covered. Upon completion of the course, students will possess fundamental competencies in understanding how a computer network operates, performing basic network configurations, and analyzing network problems.</w:t>
      </w:r>
    </w:p>
    <w:p w:rsidR="00000000" w:rsidDel="00000000" w:rsidP="00000000" w:rsidRDefault="00000000" w:rsidRPr="00000000" w14:paraId="0000000F">
      <w:pPr>
        <w:spacing w:line="276" w:lineRule="auto"/>
        <w:jc w:val="both"/>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10">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MMAT105 </w:t>
      </w:r>
      <w:r w:rsidDel="00000000" w:rsidR="00000000" w:rsidRPr="00000000">
        <w:rPr>
          <w:rFonts w:ascii="Google Sans" w:cs="Google Sans" w:eastAsia="Google Sans" w:hAnsi="Google Sans"/>
          <w:b w:val="1"/>
          <w:bCs w:val="1"/>
          <w:color w:val="000000"/>
          <w:sz w:val="22"/>
          <w:szCs w:val="22"/>
          <w:rtl w:val="0"/>
        </w:rPr>
        <w:t xml:space="preserve">General Mathematics</w:t>
      </w:r>
      <w:r w:rsidDel="00000000" w:rsidR="00000000" w:rsidRPr="00000000">
        <w:rPr>
          <w:rFonts w:ascii="Arial" w:cs="Arial" w:eastAsia="Arial" w:hAnsi="Arial"/>
          <w:b w:val="1"/>
          <w:bCs w:val="1"/>
          <w:sz w:val="23"/>
          <w:szCs w:val="23"/>
          <w:rtl w:val="0"/>
        </w:rPr>
        <w:t xml:space="preserve"> (3 0 3) (ECTS 5)</w:t>
      </w:r>
    </w:p>
    <w:p w:rsidR="00000000" w:rsidDel="00000000" w:rsidP="00000000" w:rsidRDefault="00000000" w:rsidRPr="00000000" w14:paraId="00000011">
      <w:pPr>
        <w:spacing w:line="276" w:lineRule="auto"/>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This course aims to enable students to review fundamental mathematical concepts and reinforce their problem-solving skills. Within the scope of the course; core mathematical topics such as numbers (natural, integers, rational, real), exponents and radicals, sets and operations, factorization methods, solutions of first and second-degree equations, systems of equations, absolute value, linear inequalities and ratio-proportion problems are addressed.</w:t>
      </w:r>
    </w:p>
    <w:p w:rsidR="00000000" w:rsidDel="00000000" w:rsidP="00000000" w:rsidRDefault="00000000" w:rsidRPr="00000000" w14:paraId="00000012">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13">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MYZO101 Introduction to Artificial Intelligence (3 0 3) (ECTS 5)</w:t>
      </w:r>
    </w:p>
    <w:p w:rsidR="00000000" w:rsidDel="00000000" w:rsidP="00000000" w:rsidRDefault="00000000" w:rsidRPr="00000000" w14:paraId="00000014">
      <w:pPr>
        <w:spacing w:line="276" w:lineRule="auto"/>
        <w:jc w:val="both"/>
        <w:rPr>
          <w:rFonts w:ascii="Google Sans" w:cs="Google Sans" w:eastAsia="Google Sans" w:hAnsi="Google Sans"/>
          <w:sz w:val="22"/>
          <w:szCs w:val="22"/>
        </w:rPr>
      </w:pPr>
      <w:r w:rsidDel="00000000" w:rsidR="00000000" w:rsidRPr="00000000">
        <w:rPr>
          <w:rFonts w:ascii="Google Sans" w:cs="Google Sans" w:eastAsia="Google Sans" w:hAnsi="Google Sans"/>
          <w:sz w:val="22"/>
          <w:szCs w:val="22"/>
          <w:rtl w:val="0"/>
        </w:rPr>
        <w:t xml:space="preserve">This course is the gateway that lays the intellectual and conceptual foundation of the Artificial Intelligence Operator program. The primary aim of the course is to establish the mental infrastructure of the "Artificial Intelligence Operator" identity by introducing students to the historical evolution, philosophical foundations, and technical sub-disciplines of the AI field. It is intended for students to perceive artificial intelligence not as a mystical "magic" or a closed "black box" as seen in popular culture, but as a manageable, measurable, and auditable technology based on mathematical, statistical, and logical foundations. By providing mastery over the field's terminology, the course ensures that students place the complex structures they will encounter in future technical courses (Deep Learning, NLP, etc.) into a correct mental schema. The course begins with the definition of artificial intelligence and the question of what "intelligence" is. The historical process is examined, starting from Alan Turing and the Turing Test, moving through the Dartmouth Conference, the era of Symbolic AI, Expert Systems, AI Winters, and extending to the modern Deep Learning revolution. Distinctions between Artificial Narrow Intelligence (ANI), Artificial General Intelligence (AGI), and Artificial Super Intelligence (ASI) are clarified. Problem-solving techniques, search algorithms (BFS, DFS), knowledge-based systems, and rule-based structures are addressed. The fundamental paradigms of machine learning (Supervised, Unsupervised, Reinforcement) and the biological foundations of artificial neural networks are introduced. Furthermore, the industrial application areas of artificial intelligence (Industry 4.0, Healthcare, Finance) and the fundamental ethical dilemmas (unemployment, bias) brought about by this technology are opened for discussion.</w:t>
      </w:r>
    </w:p>
    <w:p w:rsidR="00000000" w:rsidDel="00000000" w:rsidP="00000000" w:rsidRDefault="00000000" w:rsidRPr="00000000" w14:paraId="00000015">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16">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MYZO103</w:t>
      </w:r>
      <w:r w:rsidDel="00000000" w:rsidR="00000000" w:rsidRPr="00000000">
        <w:rPr>
          <w:rFonts w:ascii="Arial" w:cs="Arial" w:eastAsia="Arial" w:hAnsi="Arial"/>
          <w:sz w:val="23"/>
          <w:szCs w:val="23"/>
          <w:rtl w:val="0"/>
        </w:rPr>
        <w:t xml:space="preserve"> </w:t>
      </w:r>
      <w:r w:rsidDel="00000000" w:rsidR="00000000" w:rsidRPr="00000000">
        <w:rPr>
          <w:rFonts w:ascii="Arial" w:cs="Arial" w:eastAsia="Arial" w:hAnsi="Arial"/>
          <w:b w:val="1"/>
          <w:bCs w:val="1"/>
          <w:sz w:val="23"/>
          <w:szCs w:val="23"/>
          <w:rtl w:val="0"/>
        </w:rPr>
        <w:t xml:space="preserve">Introduction to Data Science (3 0 3) (ECTS 5)</w:t>
      </w:r>
    </w:p>
    <w:p w:rsidR="00000000" w:rsidDel="00000000" w:rsidP="00000000" w:rsidRDefault="00000000" w:rsidRPr="00000000" w14:paraId="00000017">
      <w:pPr>
        <w:spacing w:line="276" w:lineRule="auto"/>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Introduction to data science; data types and basic concepts; introduction to programming with Python; reading, writing, and basic data processing; data cleaning and preprocessing techniques; exploratory data analysis and data visualization; basic statistical concepts; introduction to basic machine learning methods such as correlation, regression, and classification; applications with real datasets; data science ethics and data privacy.</w:t>
      </w:r>
    </w:p>
    <w:p w:rsidR="00000000" w:rsidDel="00000000" w:rsidP="00000000" w:rsidRDefault="00000000" w:rsidRPr="00000000" w14:paraId="00000018">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
          <w:szCs w:val="23"/>
          <w:u w:val="none"/>
          <w:shd w:fill="auto" w:val="clear"/>
          <w:vertAlign w:val="baseline"/>
          <w:rtl w:val="0"/>
        </w:rPr>
        <w:t xml:space="preserve">Term</w:t>
      </w:r>
    </w:p>
    <w:p w:rsidR="00000000" w:rsidDel="00000000" w:rsidP="00000000" w:rsidRDefault="00000000" w:rsidRPr="00000000" w14:paraId="0000001A">
      <w:pPr>
        <w:tabs>
          <w:tab w:val="left" w:leader="none" w:pos="1346"/>
        </w:tabs>
        <w:spacing w:line="276" w:lineRule="auto"/>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1B">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MBLP134</w:t>
      </w:r>
      <w:r w:rsidDel="00000000" w:rsidR="00000000" w:rsidRPr="00000000">
        <w:rPr>
          <w:rFonts w:ascii="Arial" w:cs="Arial" w:eastAsia="Arial" w:hAnsi="Arial"/>
          <w:sz w:val="23"/>
          <w:szCs w:val="23"/>
          <w:rtl w:val="0"/>
        </w:rPr>
        <w:t xml:space="preserve"> </w:t>
      </w:r>
      <w:r w:rsidDel="00000000" w:rsidR="00000000" w:rsidRPr="00000000">
        <w:rPr>
          <w:rFonts w:ascii="Arial" w:cs="Arial" w:eastAsia="Arial" w:hAnsi="Arial"/>
          <w:b w:val="1"/>
          <w:bCs w:val="1"/>
          <w:sz w:val="23"/>
          <w:szCs w:val="23"/>
          <w:rtl w:val="0"/>
        </w:rPr>
        <w:t xml:space="preserve">Algorithm Applications (3 0 3) (ECTS 5)</w:t>
      </w:r>
    </w:p>
    <w:p w:rsidR="00000000" w:rsidDel="00000000" w:rsidP="00000000" w:rsidRDefault="00000000" w:rsidRPr="00000000" w14:paraId="0000001C">
      <w:pPr>
        <w:tabs>
          <w:tab w:val="left" w:leader="none" w:pos="1346"/>
        </w:tabs>
        <w:spacing w:line="276" w:lineRule="auto"/>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Loop and array applications, search and sort algorithms (Selection Sort, Bubble Sort, Linear Search, Binary Search), recursive functions, introduction to basic data structures (linked lists, stacks, queues) and algorithmic applications of these structures.</w:t>
      </w:r>
    </w:p>
    <w:p w:rsidR="00000000" w:rsidDel="00000000" w:rsidP="00000000" w:rsidRDefault="00000000" w:rsidRPr="00000000" w14:paraId="0000001D">
      <w:pPr>
        <w:tabs>
          <w:tab w:val="left" w:leader="none" w:pos="1346"/>
        </w:tabs>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1E">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MBLP136</w:t>
      </w:r>
      <w:r w:rsidDel="00000000" w:rsidR="00000000" w:rsidRPr="00000000">
        <w:rPr>
          <w:rFonts w:ascii="Arial" w:cs="Arial" w:eastAsia="Arial" w:hAnsi="Arial"/>
          <w:sz w:val="23"/>
          <w:szCs w:val="23"/>
          <w:rtl w:val="0"/>
        </w:rPr>
        <w:t xml:space="preserve"> </w:t>
      </w:r>
      <w:r w:rsidDel="00000000" w:rsidR="00000000" w:rsidRPr="00000000">
        <w:rPr>
          <w:rFonts w:ascii="Arial" w:cs="Arial" w:eastAsia="Arial" w:hAnsi="Arial"/>
          <w:b w:val="1"/>
          <w:bCs w:val="1"/>
          <w:sz w:val="23"/>
          <w:szCs w:val="23"/>
          <w:rtl w:val="0"/>
        </w:rPr>
        <w:t xml:space="preserve">Database (3 0 3) (ECTS 5)</w:t>
      </w:r>
    </w:p>
    <w:p w:rsidR="00000000" w:rsidDel="00000000" w:rsidP="00000000" w:rsidRDefault="00000000" w:rsidRPr="00000000" w14:paraId="0000001F">
      <w:pPr>
        <w:tabs>
          <w:tab w:val="left" w:leader="none" w:pos="1346"/>
        </w:tabs>
        <w:spacing w:line="276" w:lineRule="auto"/>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Database concepts and architecture, Entity-Relationship (ER) model, relational model, normalization, introduction to SQL, Data Definition Language (DDL), Data Manipulation Language (DML), join operations, subqueries, and basic database administration topics..</w:t>
      </w:r>
    </w:p>
    <w:p w:rsidR="00000000" w:rsidDel="00000000" w:rsidP="00000000" w:rsidRDefault="00000000" w:rsidRPr="00000000" w14:paraId="00000020">
      <w:pPr>
        <w:tabs>
          <w:tab w:val="left" w:leader="none" w:pos="1346"/>
        </w:tabs>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21">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MMAT106 Math and Logic (3 0 3) (ECTS 5)</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b w:val="0"/>
          <w:bCs w:val="0"/>
          <w:i w:val="0"/>
          <w:iCs w:val="0"/>
          <w:smallCaps w:val="0"/>
          <w:strike w:val="0"/>
          <w:color w:val="000000"/>
          <w:sz w:val="22"/>
          <w:szCs w:val="22"/>
          <w:u w:val="none"/>
          <w:shd w:fill="auto" w:val="clear"/>
          <w:vertAlign w:val="baseline"/>
          <w:rtl w:val="0"/>
        </w:rPr>
        <w:t xml:space="preserve">The aim of this course is to provide an introduction to advanced mathematical topics that form the basis of analysis and logical thinking. The course content begins with an in-depth examination of the concepts of functions, limits, and continuity. Subsequently, topics including derivatives and derivative applications (maximum-minimum problems, curve sketching), indefinite and definite integrals, integration techniques, and applications of the integral (area and volume calculations) are covered. In the final part of the course, topics such as matrices and complex numbers are included.</w:t>
      </w:r>
      <w:r w:rsidDel="00000000" w:rsidR="00000000" w:rsidRPr="00000000">
        <w:rPr>
          <w:rtl w:val="0"/>
        </w:rPr>
      </w:r>
    </w:p>
    <w:p w:rsidR="00000000" w:rsidDel="00000000" w:rsidP="00000000" w:rsidRDefault="00000000" w:rsidRPr="00000000" w14:paraId="00000023">
      <w:pPr>
        <w:spacing w:line="276" w:lineRule="auto"/>
        <w:jc w:val="both"/>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24">
      <w:pPr>
        <w:spacing w:line="276" w:lineRule="auto"/>
        <w:jc w:val="both"/>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25">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MYZO102 Artificial Intelligence Hardware (3 0 3) (ECTS 5)</w:t>
      </w:r>
    </w:p>
    <w:p w:rsidR="00000000" w:rsidDel="00000000" w:rsidP="00000000" w:rsidRDefault="00000000" w:rsidRPr="00000000" w14:paraId="00000026">
      <w:pPr>
        <w:tabs>
          <w:tab w:val="left" w:leader="none" w:pos="1346"/>
        </w:tabs>
        <w:spacing w:line="276" w:lineRule="auto"/>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Ya</w:t>
      </w:r>
      <w:r w:rsidDel="00000000" w:rsidR="00000000" w:rsidRPr="00000000">
        <w:rPr>
          <w:rtl w:val="0"/>
        </w:rPr>
        <w:t xml:space="preserve"> </w:t>
      </w:r>
      <w:r w:rsidDel="00000000" w:rsidR="00000000" w:rsidRPr="00000000">
        <w:rPr>
          <w:rFonts w:ascii="Arial" w:cs="Arial" w:eastAsia="Arial" w:hAnsi="Arial"/>
          <w:sz w:val="23"/>
          <w:szCs w:val="23"/>
          <w:rtl w:val="0"/>
        </w:rPr>
        <w:t xml:space="preserve">The Artificial Intelligence Hardware course comprehensively covers the fundamental architectural structures and hardware components that enable AI algorithms to operate with high performance and efficiency. Starting with the limitations of traditional Central Processing Units (CPUs), the course delves into hardware such as Graphics Processing Units (GPUs), which stand out with their parallel computing capabilities, specialized Tensor Processing Units (TPUs), and Field Programmable Gate Arrays (FPGAs), which are notable for their flexibility. Students understand how deep learning models are optimized at the hardware level, the impact of memory hierarchy on data processing speed, and the critical balance between energy efficiency and performance, gaining a technical perspective on the hardware ecosystem that powers the intelligent systems of the future.</w:t>
      </w:r>
    </w:p>
    <w:p w:rsidR="00000000" w:rsidDel="00000000" w:rsidP="00000000" w:rsidRDefault="00000000" w:rsidRPr="00000000" w14:paraId="00000027">
      <w:pPr>
        <w:tabs>
          <w:tab w:val="left" w:leader="none" w:pos="1346"/>
        </w:tabs>
        <w:spacing w:line="276" w:lineRule="auto"/>
        <w:jc w:val="both"/>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
          <w:szCs w:val="23"/>
          <w:u w:val="none"/>
          <w:shd w:fill="auto" w:val="clear"/>
          <w:vertAlign w:val="baseline"/>
          <w:rtl w:val="0"/>
        </w:rPr>
        <w:t xml:space="preserve">Term</w:t>
      </w:r>
    </w:p>
    <w:p w:rsidR="00000000" w:rsidDel="00000000" w:rsidP="00000000" w:rsidRDefault="00000000" w:rsidRPr="00000000" w14:paraId="00000029">
      <w:pPr>
        <w:tabs>
          <w:tab w:val="left" w:leader="none" w:pos="1346"/>
        </w:tabs>
        <w:spacing w:line="276" w:lineRule="auto"/>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2A">
      <w:pPr>
        <w:tabs>
          <w:tab w:val="left" w:leader="none" w:pos="1346"/>
        </w:tabs>
        <w:spacing w:line="276" w:lineRule="auto"/>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ATA101 </w:t>
      </w:r>
      <w:r w:rsidDel="00000000" w:rsidR="00000000" w:rsidRPr="00000000">
        <w:rPr>
          <w:rFonts w:ascii="Google Sans" w:cs="Google Sans" w:eastAsia="Google Sans" w:hAnsi="Google Sans"/>
          <w:b w:val="1"/>
          <w:bCs w:val="1"/>
          <w:color w:val="000000"/>
          <w:sz w:val="22"/>
          <w:szCs w:val="22"/>
          <w:rtl w:val="0"/>
        </w:rPr>
        <w:t xml:space="preserve">History of Turkish Republic I </w:t>
      </w:r>
      <w:r w:rsidDel="00000000" w:rsidR="00000000" w:rsidRPr="00000000">
        <w:rPr>
          <w:rFonts w:ascii="Arial" w:cs="Arial" w:eastAsia="Arial" w:hAnsi="Arial"/>
          <w:b w:val="1"/>
          <w:bCs w:val="1"/>
          <w:sz w:val="23"/>
          <w:szCs w:val="23"/>
          <w:rtl w:val="0"/>
        </w:rPr>
        <w:t xml:space="preserve">(2 0 2 ) (ECTS 2)      </w:t>
      </w:r>
    </w:p>
    <w:p w:rsidR="00000000" w:rsidDel="00000000" w:rsidP="00000000" w:rsidRDefault="00000000" w:rsidRPr="00000000" w14:paraId="0000002B">
      <w:pPr>
        <w:spacing w:line="276" w:lineRule="auto"/>
        <w:jc w:val="both"/>
        <w:rPr>
          <w:rFonts w:ascii="Google Sans" w:cs="Google Sans" w:eastAsia="Google Sans" w:hAnsi="Google Sans"/>
          <w:sz w:val="22"/>
          <w:szCs w:val="22"/>
        </w:rPr>
      </w:pPr>
      <w:r w:rsidDel="00000000" w:rsidR="00000000" w:rsidRPr="00000000">
        <w:rPr>
          <w:rFonts w:ascii="Google Sans" w:cs="Google Sans" w:eastAsia="Google Sans" w:hAnsi="Google Sans"/>
          <w:sz w:val="22"/>
          <w:szCs w:val="22"/>
          <w:rtl w:val="0"/>
        </w:rPr>
        <w:t xml:space="preserve">This course aims to provide students with an analytical perspective by examining the historical process extending from the final period of the Ottoman Empire to the founding of the Republic of Turkey. Within the scope of the course, fundamental topics such as the causes and consequences of World War I, the occupations in Anatolia following the Armistice of Mudros, the activities of harmful and beneficial societies during the organization of the national resistance, the National Struggle period which began with Mustafa Kemal Pasha’s arrival in Samsun and was shaped by congresses, the opening and legitimation of the Grand National Assembly of Turkey, the military and diplomatic phases of the War of Independence, the Treaty of Lausanne, and the proclamation of the Republic are examined within the framework of cause-and-effect relationships.</w:t>
      </w:r>
    </w:p>
    <w:p w:rsidR="00000000" w:rsidDel="00000000" w:rsidP="00000000" w:rsidRDefault="00000000" w:rsidRPr="00000000" w14:paraId="0000002C">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2D">
      <w:pPr>
        <w:tabs>
          <w:tab w:val="left" w:leader="none" w:pos="1346"/>
        </w:tabs>
        <w:spacing w:line="276" w:lineRule="auto"/>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MTRD101 Turkish Language I (2 0 2 ) (ECTS 2)                                                                     </w:t>
      </w:r>
    </w:p>
    <w:p w:rsidR="00000000" w:rsidDel="00000000" w:rsidP="00000000" w:rsidRDefault="00000000" w:rsidRPr="00000000" w14:paraId="0000002E">
      <w:pPr>
        <w:spacing w:line="276" w:lineRule="auto"/>
        <w:jc w:val="both"/>
        <w:rPr>
          <w:rFonts w:ascii="Google Sans" w:cs="Google Sans" w:eastAsia="Google Sans" w:hAnsi="Google Sans"/>
          <w:sz w:val="22"/>
          <w:szCs w:val="22"/>
        </w:rPr>
      </w:pPr>
      <w:r w:rsidDel="00000000" w:rsidR="00000000" w:rsidRPr="00000000">
        <w:rPr>
          <w:rFonts w:ascii="Google Sans" w:cs="Google Sans" w:eastAsia="Google Sans" w:hAnsi="Google Sans"/>
          <w:sz w:val="22"/>
          <w:szCs w:val="22"/>
          <w:rtl w:val="0"/>
        </w:rPr>
        <w:t xml:space="preserve">The aim of this course is to develop students' skills in using their mother tongue, Turkish, correctly, effectively, and consciously. Within the scope of the course; the definition of language, its importance as a social institution, the position of the Turkish language among world languages, and its historical development are addressed. The sound structure of Turkish (phonetics), phonological rules, word structure (morphology), and derivational and inflectional suffixes are examined. Furthermore, the fundamentals of written expression such as composition planning, writing formal texts like petitions and resumes, as well as spelling and punctuation rules are emphasized.</w:t>
      </w:r>
    </w:p>
    <w:p w:rsidR="00000000" w:rsidDel="00000000" w:rsidP="00000000" w:rsidRDefault="00000000" w:rsidRPr="00000000" w14:paraId="0000002F">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30">
      <w:pPr>
        <w:tabs>
          <w:tab w:val="left" w:leader="none" w:pos="1346"/>
        </w:tabs>
        <w:spacing w:line="276" w:lineRule="auto"/>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MING151 Basic English I (3 0 3) (ECTS 4)                                                                     </w:t>
      </w:r>
    </w:p>
    <w:p w:rsidR="00000000" w:rsidDel="00000000" w:rsidP="00000000" w:rsidRDefault="00000000" w:rsidRPr="00000000" w14:paraId="00000031">
      <w:pPr>
        <w:spacing w:line="276" w:lineRule="auto"/>
        <w:jc w:val="both"/>
        <w:rPr>
          <w:rFonts w:ascii="Google Sans" w:cs="Google Sans" w:eastAsia="Google Sans" w:hAnsi="Google Sans"/>
          <w:sz w:val="22"/>
          <w:szCs w:val="22"/>
        </w:rPr>
      </w:pPr>
      <w:r w:rsidDel="00000000" w:rsidR="00000000" w:rsidRPr="00000000">
        <w:rPr>
          <w:rFonts w:ascii="Google Sans" w:cs="Google Sans" w:eastAsia="Google Sans" w:hAnsi="Google Sans"/>
          <w:sz w:val="22"/>
          <w:szCs w:val="22"/>
          <w:rtl w:val="0"/>
        </w:rPr>
        <w:t xml:space="preserve">This course is an introductory course focusing on the four basic language skills (reading, writing, listening, speaking), aiming to develop English language proficiency at a beginner level. Within the scope of the course, students learn to perform basic communicative tasks such as introducing themselves and others, asking and answering questions about personal information, and speaking about daily routines and leisure activities. Essential grammatical structures and vocabulary are reinforced through communicative and interactive activities. By the end of the course, students will be able to communicate in situations requiring a simple and direct exchange of information on familiar and routine matters.</w:t>
      </w:r>
    </w:p>
    <w:p w:rsidR="00000000" w:rsidDel="00000000" w:rsidP="00000000" w:rsidRDefault="00000000" w:rsidRPr="00000000" w14:paraId="00000032">
      <w:pPr>
        <w:spacing w:line="276" w:lineRule="auto"/>
        <w:jc w:val="both"/>
        <w:rPr>
          <w:rFonts w:ascii="Google Sans" w:cs="Google Sans" w:eastAsia="Google Sans" w:hAnsi="Google Sans"/>
          <w:sz w:val="22"/>
          <w:szCs w:val="22"/>
        </w:rPr>
      </w:pPr>
      <w:r w:rsidDel="00000000" w:rsidR="00000000" w:rsidRPr="00000000">
        <w:rPr>
          <w:rtl w:val="0"/>
        </w:rPr>
      </w:r>
    </w:p>
    <w:p w:rsidR="00000000" w:rsidDel="00000000" w:rsidP="00000000" w:rsidRDefault="00000000" w:rsidRPr="00000000" w14:paraId="00000033">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MBLP247 Occupational Safety in Information Technology (0 2 1) (ECTS 1)</w:t>
      </w:r>
    </w:p>
    <w:p w:rsidR="00000000" w:rsidDel="00000000" w:rsidP="00000000" w:rsidRDefault="00000000" w:rsidRPr="00000000" w14:paraId="00000034">
      <w:pPr>
        <w:spacing w:line="276" w:lineRule="auto"/>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Occupational safety and health (OSH) fundamental principles, relevant laws and regulations, risks specific to the IT sector (ergonomic, electrical, psychosocial), risk assessment, emergency plans, personal protective equipment, and a safe work culture.</w:t>
      </w:r>
    </w:p>
    <w:p w:rsidR="00000000" w:rsidDel="00000000" w:rsidP="00000000" w:rsidRDefault="00000000" w:rsidRPr="00000000" w14:paraId="00000035">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rFonts w:ascii="Arial" w:cs="Arial" w:eastAsia="Arial" w:hAnsi="Arial"/>
          <w:b w:val="1"/>
          <w:bCs w:val="1"/>
          <w:color w:val="000000"/>
          <w:sz w:val="23"/>
          <w:szCs w:val="23"/>
          <w:rtl w:val="0"/>
        </w:rPr>
        <w:t xml:space="preserve">KYP001.09 Preparation for </w:t>
      </w:r>
      <w:r w:rsidDel="00000000" w:rsidR="00000000" w:rsidRPr="00000000">
        <w:rPr>
          <w:rFonts w:ascii="Arial" w:cs="Arial" w:eastAsia="Arial" w:hAnsi="Arial"/>
          <w:b w:val="1"/>
          <w:bCs w:val="1"/>
          <w:sz w:val="23"/>
          <w:szCs w:val="23"/>
          <w:rtl w:val="0"/>
        </w:rPr>
        <w:t xml:space="preserve">Business Life (0 2 1) (ECTS 1)</w:t>
      </w:r>
      <w:r w:rsidDel="00000000" w:rsidR="00000000" w:rsidRPr="00000000">
        <w:rPr>
          <w:rFonts w:ascii="Arial" w:cs="Arial" w:eastAsia="Arial" w:hAnsi="Arial"/>
          <w:b w:val="1"/>
          <w:bCs w:val="1"/>
          <w:color w:val="000000"/>
          <w:sz w:val="23"/>
          <w:szCs w:val="23"/>
          <w:rtl w:val="0"/>
        </w:rPr>
        <w:t xml:space="preserve">       </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76" w:lineRule="auto"/>
        <w:jc w:val="both"/>
        <w:rPr>
          <w:rFonts w:ascii="Google Sans" w:cs="Google Sans" w:eastAsia="Google Sans" w:hAnsi="Google Sans"/>
          <w:sz w:val="22"/>
          <w:szCs w:val="22"/>
        </w:rPr>
      </w:pPr>
      <w:r w:rsidDel="00000000" w:rsidR="00000000" w:rsidRPr="00000000">
        <w:rPr>
          <w:rFonts w:ascii="Google Sans" w:cs="Google Sans" w:eastAsia="Google Sans" w:hAnsi="Google Sans"/>
          <w:sz w:val="22"/>
          <w:szCs w:val="22"/>
          <w:rtl w:val="0"/>
        </w:rPr>
        <w:t xml:space="preserve">The aim of this course is to increase the knowledge, skills, and awareness necessary for students to ensure a successful transition from their academic lives to their professional careers. Within the scope of the course, topics such as career planning strategies, effective resume (CV) and cover letter preparation techniques, interview simulations and job interview skills, corporate communication and workplace culture, personal brand management, and building professional networks are addressed through practical applications. The objective of the course is to enable students to effectively manage their post-graduation job search processes and to make a sustainable start to their careers.</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
          <w:szCs w:val="23"/>
          <w:u w:val="none"/>
          <w:shd w:fill="auto" w:val="clear"/>
          <w:vertAlign w:val="baseline"/>
          <w:rtl w:val="0"/>
        </w:rPr>
        <w:t xml:space="preserve">Term</w:t>
      </w:r>
    </w:p>
    <w:p w:rsidR="00000000" w:rsidDel="00000000" w:rsidP="00000000" w:rsidRDefault="00000000" w:rsidRPr="00000000" w14:paraId="0000003A">
      <w:pPr>
        <w:tabs>
          <w:tab w:val="left" w:leader="none" w:pos="1346"/>
        </w:tabs>
        <w:spacing w:line="276" w:lineRule="auto"/>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3B">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ATA102 </w:t>
      </w:r>
      <w:r w:rsidDel="00000000" w:rsidR="00000000" w:rsidRPr="00000000">
        <w:rPr>
          <w:rFonts w:ascii="Google Sans" w:cs="Google Sans" w:eastAsia="Google Sans" w:hAnsi="Google Sans"/>
          <w:b w:val="1"/>
          <w:bCs w:val="1"/>
          <w:color w:val="000000"/>
          <w:sz w:val="22"/>
          <w:szCs w:val="22"/>
          <w:rtl w:val="0"/>
        </w:rPr>
        <w:t xml:space="preserve">History of Turkish Republic II </w:t>
      </w:r>
      <w:r w:rsidDel="00000000" w:rsidR="00000000" w:rsidRPr="00000000">
        <w:rPr>
          <w:rFonts w:ascii="Arial" w:cs="Arial" w:eastAsia="Arial" w:hAnsi="Arial"/>
          <w:b w:val="1"/>
          <w:bCs w:val="1"/>
          <w:sz w:val="23"/>
          <w:szCs w:val="23"/>
          <w:rtl w:val="0"/>
        </w:rPr>
        <w:t xml:space="preserve">(2 0 2) (ECTS 2)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b w:val="0"/>
          <w:bCs w:val="0"/>
          <w:i w:val="0"/>
          <w:iCs w:val="0"/>
          <w:smallCaps w:val="0"/>
          <w:strike w:val="0"/>
          <w:color w:val="000000"/>
          <w:sz w:val="22"/>
          <w:szCs w:val="22"/>
          <w:u w:val="none"/>
          <w:shd w:fill="auto" w:val="clear"/>
          <w:vertAlign w:val="baseline"/>
          <w:rtl w:val="0"/>
        </w:rPr>
        <w:t xml:space="preserve">The aim of this course is to examine the political, social, economic, and cultural transformations during the period from the foundation of the Republic of Turkey to the present day. Within the course content, the revolutions implemented following the proclamation of the Republic, the Atatürk principles that form the basis of these revolutions, the principles and practices of foreign policy during the founding years of the Republic of Turkey, the significant developments in the period following Atatürk's passing, and Turkey's modernization process are addressed through a multi-faceted approach. By the end of the course, students will gain the ability to understand the formation dynamics of contemporary Turkey and to interpret current developments from a historical perspective.</w:t>
      </w:r>
      <w:r w:rsidDel="00000000" w:rsidR="00000000" w:rsidRPr="00000000">
        <w:rPr>
          <w:rtl w:val="0"/>
        </w:rPr>
      </w:r>
    </w:p>
    <w:p w:rsidR="00000000" w:rsidDel="00000000" w:rsidP="00000000" w:rsidRDefault="00000000" w:rsidRPr="00000000" w14:paraId="0000003D">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3E">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MTRD102 Turkish Language II (2 0 2) (ECTS 2)                                                                     </w:t>
      </w:r>
    </w:p>
    <w:p w:rsidR="00000000" w:rsidDel="00000000" w:rsidP="00000000" w:rsidRDefault="00000000" w:rsidRPr="00000000" w14:paraId="0000003F">
      <w:pPr>
        <w:spacing w:line="276" w:lineRule="auto"/>
        <w:jc w:val="both"/>
        <w:rPr>
          <w:rFonts w:ascii="Google Sans" w:cs="Google Sans" w:eastAsia="Google Sans" w:hAnsi="Google Sans"/>
          <w:sz w:val="22"/>
          <w:szCs w:val="22"/>
        </w:rPr>
      </w:pPr>
      <w:r w:rsidDel="00000000" w:rsidR="00000000" w:rsidRPr="00000000">
        <w:rPr>
          <w:rFonts w:ascii="Google Sans" w:cs="Google Sans" w:eastAsia="Google Sans" w:hAnsi="Google Sans"/>
          <w:sz w:val="22"/>
          <w:szCs w:val="22"/>
          <w:rtl w:val="0"/>
        </w:rPr>
        <w:t xml:space="preserve">As a continuation of the MTRD101 course, this course aims to elevate students' language and expression skills to a more advanced level. Within the scope of the course, topics such as phrase structures, sentence knowledge (syntax), sentence elements, sentence types, and expression errors are examined in detail. The characteristics and writing techniques of academic genres such as scientific texts, articles, and reports are emphasized. The primary objective of the course is to increase students' competencies in expressing their thoughts clearly, consistently, and in accordance with linguistic rules in both written and oral expression.</w:t>
      </w:r>
    </w:p>
    <w:p w:rsidR="00000000" w:rsidDel="00000000" w:rsidP="00000000" w:rsidRDefault="00000000" w:rsidRPr="00000000" w14:paraId="00000040">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41">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MING152 Basic English II (3 0 3) (ECTS 4)</w:t>
      </w:r>
    </w:p>
    <w:p w:rsidR="00000000" w:rsidDel="00000000" w:rsidP="00000000" w:rsidRDefault="00000000" w:rsidRPr="00000000" w14:paraId="00000042">
      <w:pPr>
        <w:spacing w:line="276" w:lineRule="auto"/>
        <w:jc w:val="both"/>
        <w:rPr>
          <w:rFonts w:ascii="Google Sans" w:cs="Google Sans" w:eastAsia="Google Sans" w:hAnsi="Google Sans"/>
          <w:sz w:val="22"/>
          <w:szCs w:val="22"/>
        </w:rPr>
      </w:pPr>
      <w:r w:rsidDel="00000000" w:rsidR="00000000" w:rsidRPr="00000000">
        <w:rPr>
          <w:rFonts w:ascii="Google Sans" w:cs="Google Sans" w:eastAsia="Google Sans" w:hAnsi="Google Sans"/>
          <w:sz w:val="22"/>
          <w:szCs w:val="22"/>
          <w:rtl w:val="0"/>
        </w:rPr>
        <w:t xml:space="preserve">As a continuation of the MING151 course, this course aims to elevate students' fundamental English language skills to an elementary (high-beginner) level. The course continues to develop the four basic language skills (reading, writing, listening, speaking). Students gain competence in topics such as narrating past events, describing people and places, making simple comparisons, speaking about near-future plans, and providing simple directions. New grammatical structures and vocabulary are presented to enable students to perform more complex communicative tasks.</w:t>
      </w:r>
    </w:p>
    <w:p w:rsidR="00000000" w:rsidDel="00000000" w:rsidP="00000000" w:rsidRDefault="00000000" w:rsidRPr="00000000" w14:paraId="00000043">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44">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MYZO216 Vocational Project (3 0 3) (ECTS 7)</w:t>
      </w:r>
    </w:p>
    <w:p w:rsidR="00000000" w:rsidDel="00000000" w:rsidP="00000000" w:rsidRDefault="00000000" w:rsidRPr="00000000" w14:paraId="00000045">
      <w:pPr>
        <w:spacing w:line="276" w:lineRule="auto"/>
        <w:jc w:val="both"/>
        <w:rPr>
          <w:rFonts w:ascii="Arial" w:cs="Arial" w:eastAsia="Arial" w:hAnsi="Arial"/>
          <w:b w:val="1"/>
          <w:bCs w:val="1"/>
          <w:sz w:val="23"/>
          <w:szCs w:val="23"/>
        </w:rPr>
      </w:pPr>
      <w:bookmarkStart w:colFirst="0" w:colLast="0" w:name="_heading=h.awaz3tsd9s40" w:id="0"/>
      <w:bookmarkEnd w:id="0"/>
      <w:r w:rsidDel="00000000" w:rsidR="00000000" w:rsidRPr="00000000">
        <w:rPr>
          <w:rFonts w:ascii="Arial" w:cs="Arial" w:eastAsia="Arial" w:hAnsi="Arial"/>
          <w:sz w:val="23"/>
          <w:szCs w:val="23"/>
          <w:rtl w:val="0"/>
        </w:rPr>
        <w:t xml:space="preserve">This content, prepared within the scope of the Professional Project course, encompasses an application-oriented process that enables students to transform the theoretical artificial intelligence knowledge they have acquired during their education into a concrete, industry-specific solution model. Throughout the course, students learn to analyze real-world problems, select appropriate AI tools, develop operational strategies to integrate these tools into workflows, and report on the technical feasibility of the project. The content consists of stages such as designing the project idea, creating prompt libraries, conducting quality control tests on the outputs, and presenting the final solution in a portfolio format. At the end of this process, students understand AI operation not merely as tool usage, but as a professional project management competency that enables them to manage a business model end-to-end.</w:t>
      </w:r>
      <w:r w:rsidDel="00000000" w:rsidR="00000000" w:rsidRPr="00000000">
        <w:rPr>
          <w:rtl w:val="0"/>
        </w:rPr>
      </w:r>
    </w:p>
    <w:sectPr>
      <w:headerReference r:id="rId7" w:type="default"/>
      <w:footerReference r:id="rId8" w:type="default"/>
      <w:footerReference r:id="rId9" w:type="firs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alibri"/>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pBdr>
        <w:top w:color="000000" w:space="1" w:sz="4" w:val="single"/>
      </w:pBdr>
      <w:tabs>
        <w:tab w:val="center" w:leader="none" w:pos="4536"/>
        <w:tab w:val="right" w:leader="none" w:pos="9072"/>
      </w:tabs>
      <w:jc w:val="both"/>
      <w:rPr>
        <w:rFonts w:ascii="Calibri" w:cs="Calibri" w:eastAsia="Calibri" w:hAnsi="Calibri"/>
      </w:rPr>
    </w:pPr>
    <w:r w:rsidDel="00000000" w:rsidR="00000000" w:rsidRPr="00000000">
      <w:rPr>
        <w:rFonts w:ascii="Calibri" w:cs="Calibri" w:eastAsia="Calibri" w:hAnsi="Calibri"/>
        <w:rtl w:val="0"/>
      </w:rPr>
      <w:t xml:space="preserve">Lecturer Didem İÇEN</w:t>
    </w:r>
    <w:r w:rsidDel="00000000" w:rsidR="00000000" w:rsidRPr="00000000">
      <w:rPr>
        <w:rFonts w:ascii="Calibri" w:cs="Calibri" w:eastAsia="Calibri" w:hAnsi="Calibri"/>
        <w:sz w:val="20"/>
        <w:szCs w:val="20"/>
        <w:rtl w:val="0"/>
      </w:rPr>
      <w:tab/>
      <w:tab/>
      <w:t xml:space="preserve">Sayfa </w:t>
    </w:r>
    <w:r w:rsidDel="00000000" w:rsidR="00000000" w:rsidRPr="00000000">
      <w:rPr>
        <w:rFonts w:ascii="Calibri" w:cs="Calibri" w:eastAsia="Calibri" w:hAnsi="Calibri"/>
        <w:b w:val="1"/>
        <w:bCs w:val="1"/>
      </w:rPr>
      <w:fldChar w:fldCharType="begin"/>
      <w:instrText xml:space="preserve">PAGE</w:instrText>
      <w:fldChar w:fldCharType="separate"/>
      <w:fldChar w:fldCharType="end"/>
    </w:r>
    <w:r w:rsidDel="00000000" w:rsidR="00000000" w:rsidRPr="00000000">
      <w:rPr>
        <w:rFonts w:ascii="Calibri" w:cs="Calibri" w:eastAsia="Calibri" w:hAnsi="Calibri"/>
        <w:sz w:val="20"/>
        <w:szCs w:val="20"/>
        <w:rtl w:val="0"/>
      </w:rPr>
      <w:t xml:space="preserve"> / </w:t>
    </w:r>
    <w:r w:rsidDel="00000000" w:rsidR="00000000" w:rsidRPr="00000000">
      <w:rPr>
        <w:rFonts w:ascii="Calibri" w:cs="Calibri" w:eastAsia="Calibri" w:hAnsi="Calibri"/>
        <w:b w:val="1"/>
        <w:bCs w:val="1"/>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49">
    <w:pPr>
      <w:tabs>
        <w:tab w:val="center" w:leader="none" w:pos="4536"/>
        <w:tab w:val="right" w:leader="none" w:pos="9072"/>
      </w:tabs>
      <w:jc w:val="both"/>
      <w:rPr>
        <w:rFonts w:ascii="Calibri" w:cs="Calibri" w:eastAsia="Calibri" w:hAnsi="Calibri"/>
      </w:rPr>
    </w:pPr>
    <w:r w:rsidDel="00000000" w:rsidR="00000000" w:rsidRPr="00000000">
      <w:rPr>
        <w:rFonts w:ascii="Calibri" w:cs="Calibri" w:eastAsia="Calibri" w:hAnsi="Calibri"/>
        <w:rtl w:val="0"/>
      </w:rPr>
      <w:t xml:space="preserve">Head of Program</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pBdr>
        <w:top w:color="000000" w:space="1" w:sz="4" w:val="single"/>
      </w:pBdr>
      <w:tabs>
        <w:tab w:val="center" w:leader="none" w:pos="4536"/>
        <w:tab w:val="right" w:leader="none" w:pos="9072"/>
      </w:tabs>
      <w:jc w:val="both"/>
      <w:rPr>
        <w:rFonts w:ascii="Calibri" w:cs="Calibri" w:eastAsia="Calibri" w:hAnsi="Calibri"/>
      </w:rPr>
    </w:pPr>
    <w:r w:rsidDel="00000000" w:rsidR="00000000" w:rsidRPr="00000000">
      <w:rPr>
        <w:rFonts w:ascii="Calibri" w:cs="Calibri" w:eastAsia="Calibri" w:hAnsi="Calibri"/>
        <w:rtl w:val="0"/>
      </w:rPr>
      <w:t xml:space="preserve">Dr. Öğr. Üyesi Hasan Oğuz</w:t>
    </w:r>
    <w:r w:rsidDel="00000000" w:rsidR="00000000" w:rsidRPr="00000000">
      <w:rPr>
        <w:rFonts w:ascii="Calibri" w:cs="Calibri" w:eastAsia="Calibri" w:hAnsi="Calibri"/>
        <w:sz w:val="20"/>
        <w:szCs w:val="20"/>
        <w:rtl w:val="0"/>
      </w:rPr>
      <w:tab/>
      <w:tab/>
      <w:t xml:space="preserve">Sayfa </w:t>
    </w:r>
    <w:r w:rsidDel="00000000" w:rsidR="00000000" w:rsidRPr="00000000">
      <w:rPr>
        <w:rFonts w:ascii="Calibri" w:cs="Calibri" w:eastAsia="Calibri" w:hAnsi="Calibri"/>
        <w:b w:val="1"/>
        <w:bCs w:val="1"/>
      </w:rPr>
      <w:fldChar w:fldCharType="begin"/>
      <w:instrText xml:space="preserve">PAGE</w:instrText>
      <w:fldChar w:fldCharType="separate"/>
      <w:fldChar w:fldCharType="end"/>
    </w:r>
    <w:r w:rsidDel="00000000" w:rsidR="00000000" w:rsidRPr="00000000">
      <w:rPr>
        <w:rFonts w:ascii="Calibri" w:cs="Calibri" w:eastAsia="Calibri" w:hAnsi="Calibri"/>
        <w:sz w:val="20"/>
        <w:szCs w:val="20"/>
        <w:rtl w:val="0"/>
      </w:rPr>
      <w:t xml:space="preserve"> / </w:t>
    </w:r>
    <w:r w:rsidDel="00000000" w:rsidR="00000000" w:rsidRPr="00000000">
      <w:rPr>
        <w:rFonts w:ascii="Calibri" w:cs="Calibri" w:eastAsia="Calibri" w:hAnsi="Calibri"/>
        <w:b w:val="1"/>
        <w:bCs w:val="1"/>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4B">
    <w:pPr>
      <w:tabs>
        <w:tab w:val="center" w:leader="none" w:pos="4536"/>
        <w:tab w:val="right" w:leader="none" w:pos="9072"/>
      </w:tabs>
      <w:jc w:val="both"/>
      <w:rPr>
        <w:rFonts w:ascii="Calibri" w:cs="Calibri" w:eastAsia="Calibri" w:hAnsi="Calibri"/>
      </w:rPr>
    </w:pPr>
    <w:r w:rsidDel="00000000" w:rsidR="00000000" w:rsidRPr="00000000">
      <w:rPr>
        <w:rFonts w:ascii="Calibri" w:cs="Calibri" w:eastAsia="Calibri" w:hAnsi="Calibri"/>
        <w:rtl w:val="0"/>
      </w:rPr>
      <w:t xml:space="preserve">Program Başkanı</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ARTIFICIAL INTELLIGENCE OPERATOR PROGRAM</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COURSE CONTENTS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t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pOy3WESK5xdAqA/84nog+/+/1Q==">CgMxLjAyDmguYXdhejN0c2Q5czQwOAByITFFN1hSekNYVzBNMmVWVzluTHlGR2lLSVh4dUd6dkk0VQ==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